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陈金鹏同志</w:t>
      </w:r>
      <w:r>
        <w:rPr>
          <w:rFonts w:hint="eastAsia" w:ascii="方正小标宋简体" w:hAnsi="方正小标宋简体" w:eastAsia="方正小标宋简体" w:cs="方正小标宋简体"/>
          <w:b w:val="0"/>
          <w:bCs w:val="0"/>
          <w:sz w:val="44"/>
          <w:szCs w:val="44"/>
          <w:lang w:val="en-US" w:eastAsia="zh-CN"/>
        </w:rPr>
        <w:t>全市基金管理提升年暨基金</w:t>
      </w:r>
    </w:p>
    <w:p>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监督工作会</w:t>
      </w:r>
      <w:r>
        <w:rPr>
          <w:rFonts w:hint="eastAsia" w:ascii="方正小标宋简体" w:hAnsi="方正小标宋简体" w:eastAsia="方正小标宋简体" w:cs="方正小标宋简体"/>
          <w:b w:val="0"/>
          <w:bCs w:val="0"/>
          <w:sz w:val="44"/>
          <w:szCs w:val="44"/>
          <w:lang w:val="en-US" w:eastAsia="zh-CN"/>
        </w:rPr>
        <w:t>上</w:t>
      </w:r>
      <w:r>
        <w:rPr>
          <w:rFonts w:hint="eastAsia" w:ascii="方正小标宋简体" w:hAnsi="方正小标宋简体" w:eastAsia="方正小标宋简体" w:cs="方正小标宋简体"/>
          <w:b w:val="0"/>
          <w:bCs w:val="0"/>
          <w:sz w:val="44"/>
          <w:szCs w:val="44"/>
          <w:lang w:val="en-US" w:eastAsia="zh-CN"/>
        </w:rPr>
        <w:t>讲话</w:t>
      </w:r>
    </w:p>
    <w:p>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30"/>
          <w:szCs w:val="30"/>
          <w:lang w:val="en-US" w:eastAsia="zh-CN"/>
        </w:rPr>
      </w:pPr>
      <w:r>
        <w:rPr>
          <w:rFonts w:hint="eastAsia" w:ascii="CESI楷体-GB2312" w:hAnsi="CESI楷体-GB2312" w:eastAsia="CESI楷体-GB2312" w:cs="CESI楷体-GB2312"/>
          <w:sz w:val="30"/>
          <w:szCs w:val="30"/>
          <w:lang w:val="en-US" w:eastAsia="zh-CN"/>
        </w:rPr>
        <w:t>2022年5月16日</w:t>
      </w: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同志们：</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今天把县市区分管领导及四位一体成员单位领导召集一起，开一个全市社保基金管理“提升年”行动推进及基金监督会，主要任务落实全省人社电视会议精神。刚才咸安、赤壁、通城人社局介绍了基金收缴经验，县市区同志作了发言，四位一体成员单位领导作了部署。现在我在大家所讲的基础上讲三点意见。</w:t>
      </w:r>
    </w:p>
    <w:p>
      <w:pPr>
        <w:ind w:firstLine="640" w:firstLineChars="200"/>
        <w:jc w:val="both"/>
        <w:rPr>
          <w:rFonts w:hint="eastAsia" w:ascii="文泉驿正黑" w:hAnsi="文泉驿正黑" w:eastAsia="文泉驿正黑" w:cs="文泉驿正黑"/>
          <w:b w:val="0"/>
          <w:bCs w:val="0"/>
          <w:color w:val="auto"/>
          <w:sz w:val="32"/>
          <w:szCs w:val="32"/>
          <w:lang w:val="en-US" w:eastAsia="zh-CN"/>
        </w:rPr>
      </w:pPr>
      <w:r>
        <w:rPr>
          <w:rFonts w:hint="eastAsia" w:ascii="文泉驿正黑" w:hAnsi="文泉驿正黑" w:eastAsia="文泉驿正黑" w:cs="文泉驿正黑"/>
          <w:b w:val="0"/>
          <w:bCs w:val="0"/>
          <w:color w:val="auto"/>
          <w:sz w:val="32"/>
          <w:szCs w:val="32"/>
          <w:lang w:val="en-US" w:eastAsia="zh-CN"/>
        </w:rPr>
        <w:t>一、肯定成绩，正视问题，找准基金监管工作位置</w:t>
      </w:r>
    </w:p>
    <w:p>
      <w:pPr>
        <w:numPr>
          <w:ilvl w:val="0"/>
          <w:numId w:val="0"/>
        </w:numPr>
        <w:ind w:firstLine="643" w:firstLineChars="200"/>
        <w:jc w:val="both"/>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（一）肯定成绩：步入了正轨，找到了感觉</w:t>
      </w:r>
    </w:p>
    <w:p>
      <w:pPr>
        <w:numPr>
          <w:ilvl w:val="0"/>
          <w:numId w:val="0"/>
        </w:num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1.通过基金风险排查，对全市基金进行了一次全面体检。</w:t>
      </w:r>
      <w:r>
        <w:rPr>
          <w:rFonts w:hint="eastAsia" w:ascii="仿宋_GB2312" w:hAnsi="仿宋_GB2312" w:eastAsia="仿宋_GB2312" w:cs="仿宋_GB2312"/>
          <w:color w:val="auto"/>
          <w:sz w:val="32"/>
          <w:szCs w:val="32"/>
          <w:lang w:val="en-US" w:eastAsia="zh-CN"/>
        </w:rPr>
        <w:t>根据省厅《关于开展全省社会保险基金管理风险排查工作的通知（鄂人社函〔2021〕87号）》文件，我市开展风险排查工作。</w:t>
      </w:r>
      <w:r>
        <w:rPr>
          <w:rFonts w:hint="eastAsia" w:ascii="仿宋_GB2312" w:hAnsi="仿宋_GB2312" w:eastAsia="仿宋_GB2312" w:cs="仿宋_GB2312"/>
          <w:b/>
          <w:bCs/>
          <w:color w:val="auto"/>
          <w:sz w:val="32"/>
          <w:szCs w:val="32"/>
          <w:lang w:val="en-US" w:eastAsia="zh-CN"/>
        </w:rPr>
        <w:t>一是自查</w:t>
      </w:r>
      <w:r>
        <w:rPr>
          <w:rFonts w:hint="eastAsia" w:ascii="仿宋_GB2312" w:hAnsi="仿宋_GB2312" w:eastAsia="仿宋_GB2312" w:cs="仿宋_GB2312"/>
          <w:color w:val="auto"/>
          <w:sz w:val="32"/>
          <w:szCs w:val="32"/>
          <w:lang w:val="en-US" w:eastAsia="zh-CN"/>
        </w:rPr>
        <w:t>。对省厅下发58213条疑点数据、市局摸排51459条企疑点数据进行排查，发现问题55个，涉及资金249万元，追回221万元。</w:t>
      </w:r>
      <w:r>
        <w:rPr>
          <w:rFonts w:hint="eastAsia" w:ascii="仿宋_GB2312" w:hAnsi="仿宋_GB2312" w:eastAsia="仿宋_GB2312" w:cs="仿宋_GB2312"/>
          <w:b/>
          <w:bCs/>
          <w:color w:val="auto"/>
          <w:sz w:val="32"/>
          <w:szCs w:val="32"/>
          <w:lang w:val="en-US" w:eastAsia="zh-CN"/>
        </w:rPr>
        <w:t>二是检查</w:t>
      </w:r>
      <w:r>
        <w:rPr>
          <w:rFonts w:hint="eastAsia" w:ascii="仿宋_GB2312" w:hAnsi="仿宋_GB2312" w:eastAsia="仿宋_GB2312" w:cs="仿宋_GB2312"/>
          <w:color w:val="auto"/>
          <w:sz w:val="32"/>
          <w:szCs w:val="32"/>
          <w:lang w:val="en-US" w:eastAsia="zh-CN"/>
        </w:rPr>
        <w:t>。组织三个检查组对各县市区基金风险排查工作进行一次全面检查，发现问题19个，列出清单进行整改。</w:t>
      </w:r>
      <w:r>
        <w:rPr>
          <w:rFonts w:hint="eastAsia" w:ascii="仿宋_GB2312" w:hAnsi="仿宋_GB2312" w:eastAsia="仿宋_GB2312" w:cs="仿宋_GB2312"/>
          <w:b/>
          <w:bCs/>
          <w:color w:val="auto"/>
          <w:sz w:val="32"/>
          <w:szCs w:val="32"/>
          <w:lang w:val="en-US" w:eastAsia="zh-CN"/>
        </w:rPr>
        <w:t>三是抽查</w:t>
      </w:r>
      <w:r>
        <w:rPr>
          <w:rFonts w:hint="eastAsia" w:ascii="仿宋_GB2312" w:hAnsi="仿宋_GB2312" w:eastAsia="仿宋_GB2312" w:cs="仿宋_GB2312"/>
          <w:color w:val="auto"/>
          <w:sz w:val="32"/>
          <w:szCs w:val="32"/>
          <w:lang w:val="en-US" w:eastAsia="zh-CN"/>
        </w:rPr>
        <w:t>。省厅调研指导组对我市咸安嘉鱼进行抽查，发现问题7个并进行整改。四是倒查。对2019年以来基金专项检查及审计发现的101个问题、120万元进行进行倒查，101个问题全部得到整改，追回基金97%。</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2.通过基金要情分析，找到了大额违规人群。</w:t>
      </w:r>
      <w:r>
        <w:rPr>
          <w:rFonts w:hint="eastAsia" w:ascii="仿宋_GB2312" w:hAnsi="仿宋_GB2312" w:eastAsia="仿宋_GB2312" w:cs="仿宋_GB2312"/>
          <w:color w:val="auto"/>
          <w:sz w:val="32"/>
          <w:szCs w:val="32"/>
          <w:lang w:val="en-US" w:eastAsia="zh-CN"/>
        </w:rPr>
        <w:t>2021年共产生基金要情18起，涉及18人，涉及金额61.47万元，已追回23.73万元，占39%。虽然追回率不高，但与前年相比是很大进步，除了实现0的突破外，还找到了规律，得出了三点结论：</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结论一：</w:t>
      </w:r>
      <w:r>
        <w:rPr>
          <w:rFonts w:hint="eastAsia" w:ascii="仿宋_GB2312" w:hAnsi="仿宋_GB2312" w:eastAsia="仿宋_GB2312" w:cs="仿宋_GB2312"/>
          <w:color w:val="auto"/>
          <w:sz w:val="32"/>
          <w:szCs w:val="32"/>
          <w:lang w:val="en-US" w:eastAsia="zh-CN"/>
        </w:rPr>
        <w:t>靠自身力量发现问题难。在18起要情中，上级人社部门发现问题线索７起，占40%；审计部门发现线索10起，占55%；自身发现线索１起，占５%。</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结论二：</w:t>
      </w:r>
      <w:r>
        <w:rPr>
          <w:rFonts w:hint="eastAsia" w:ascii="仿宋_GB2312" w:hAnsi="仿宋_GB2312" w:eastAsia="仿宋_GB2312" w:cs="仿宋_GB2312"/>
          <w:color w:val="auto"/>
          <w:sz w:val="32"/>
          <w:szCs w:val="32"/>
          <w:lang w:val="en-US" w:eastAsia="zh-CN"/>
        </w:rPr>
        <w:t>违规领取待遇集中在“三种人”身上。一是服刑人员，有７起，涉及金额38.87万元，占要情总金额63%。已追回7.13万元，占服刑违规金额19%，还有81%没有追回,说明这类人追回难度大。二是重复享受待遇的人员，有３起，涉及金额10.16万元，占要情总金额17%，已追回10.16万元，占100%。之所以顺手是因为人社部门掌握了主动权，只要账上有钱就可以扣。三是领取遗属补助金的人员，有8起，涉及金额12.44万元，占要情总金额20%，已追回6.44万元，占52%。</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结论三：</w:t>
      </w:r>
      <w:r>
        <w:rPr>
          <w:rFonts w:hint="eastAsia" w:ascii="仿宋_GB2312" w:hAnsi="仿宋_GB2312" w:eastAsia="仿宋_GB2312" w:cs="仿宋_GB2312"/>
          <w:color w:val="auto"/>
          <w:sz w:val="32"/>
          <w:szCs w:val="32"/>
          <w:lang w:val="en-US" w:eastAsia="zh-CN"/>
        </w:rPr>
        <w:t>企业职工养老保险问题多。发生要情12起，涉及金额27.59万元，占要情金额45%。已追回15.64万元，占57%。</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3.通过社保基金监管系统预警信息，加强了日常监管</w:t>
      </w:r>
      <w:r>
        <w:rPr>
          <w:rFonts w:hint="eastAsia" w:ascii="仿宋_GB2312" w:hAnsi="仿宋_GB2312" w:eastAsia="仿宋_GB2312" w:cs="仿宋_GB2312"/>
          <w:color w:val="auto"/>
          <w:sz w:val="32"/>
          <w:szCs w:val="32"/>
          <w:lang w:val="en-US" w:eastAsia="zh-CN"/>
        </w:rPr>
        <w:t>。2021年全市通过金保工程社会保险基金监管系统接收预警信息761条，查实信息554条，涉及金额3.39万元，已全部追回。在这些预警信息中，83%为重复参保，即一人在多个统筹区缴纳养老、失业保险金，剩余17%分别为缴费年限不符合按月领取养老金、失业再就业仍然享受失业保险待遇、领取失业保险待遇不符合国家标准。</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4.通过典型案例，推出赤壁、咸安经验。</w:t>
      </w:r>
      <w:r>
        <w:rPr>
          <w:rFonts w:hint="eastAsia" w:ascii="仿宋_GB2312" w:hAnsi="仿宋_GB2312" w:eastAsia="仿宋_GB2312" w:cs="仿宋_GB2312"/>
          <w:color w:val="auto"/>
          <w:sz w:val="32"/>
          <w:szCs w:val="32"/>
          <w:lang w:val="en-US" w:eastAsia="zh-CN"/>
        </w:rPr>
        <w:t>我局赤壁、咸安在追缴过程中摸索出一套成熟经验，受到省厅指导组和省厅基金监督处肯定，我局适时推出了赤壁咸安作法，印发了两个文件在全市推广。今天他们也作了介绍。两个文件起到了作用，通城县人社局樊局长拿着“赤壁市追姚某违规领取养老金案例”文件，找到县政府，要求参照赤壁作法，对黎某和廖某违规领取养老金进行追缴。县领导在上面签字同意。2月25日，黎某所在单位通城县石南教育站向通城县机关养老保险局财政专户汇款175174.47元。2月24日，廖某所在单位通城县财政局向通城县机关养老保险局财政专户汇款44352.33元。</w:t>
      </w:r>
    </w:p>
    <w:p>
      <w:pPr>
        <w:ind w:firstLine="643" w:firstLineChars="200"/>
        <w:jc w:val="both"/>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（二）正视问题：压力不够，方法不多</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1.压力传导层层递减。</w:t>
      </w:r>
      <w:r>
        <w:rPr>
          <w:rFonts w:hint="eastAsia" w:ascii="仿宋_GB2312" w:hAnsi="仿宋_GB2312" w:eastAsia="仿宋_GB2312" w:cs="仿宋_GB2312"/>
          <w:color w:val="auto"/>
          <w:sz w:val="32"/>
          <w:szCs w:val="32"/>
          <w:lang w:val="en-US" w:eastAsia="zh-CN"/>
        </w:rPr>
        <w:t>这几年我市基金没有出现大问题，没有出现内外勾结、监守自盗恶性事件，没有人受处分，加之“三个全面取消”、内部牵制机制完善后，出事的可能性更小。这是好事，但是不出事，并不等于就没有事，只能说暂时过关。中央领导、部厅领导对湖南省衡南县社保经办人员套取上千万农村养老金问题高度重视，又批示、又开会，到了我们这一级就不那么上心，觉得离我们很远，甚至有人认为是小题大做，这就是压力传导和重视程度层层递减的表现。</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2.有责任可推。</w:t>
      </w:r>
      <w:r>
        <w:rPr>
          <w:rFonts w:hint="eastAsia" w:ascii="仿宋_GB2312" w:hAnsi="仿宋_GB2312" w:eastAsia="仿宋_GB2312" w:cs="仿宋_GB2312"/>
          <w:color w:val="auto"/>
          <w:sz w:val="32"/>
          <w:szCs w:val="32"/>
          <w:lang w:val="en-US" w:eastAsia="zh-CN"/>
        </w:rPr>
        <w:t>大事没有，小事不断，但是没有人害怕，原因是有理由可找、有责任可推：</w:t>
      </w:r>
      <w:r>
        <w:rPr>
          <w:rFonts w:hint="eastAsia" w:ascii="仿宋_GB2312" w:hAnsi="仿宋_GB2312" w:eastAsia="仿宋_GB2312" w:cs="仿宋_GB2312"/>
          <w:b/>
          <w:bCs/>
          <w:color w:val="auto"/>
          <w:sz w:val="32"/>
          <w:szCs w:val="32"/>
          <w:lang w:val="en-US" w:eastAsia="zh-CN"/>
        </w:rPr>
        <w:t>一是系统没有打通</w:t>
      </w:r>
      <w:r>
        <w:rPr>
          <w:rFonts w:hint="eastAsia" w:ascii="仿宋_GB2312" w:hAnsi="仿宋_GB2312" w:eastAsia="仿宋_GB2312" w:cs="仿宋_GB2312"/>
          <w:color w:val="auto"/>
          <w:sz w:val="32"/>
          <w:szCs w:val="32"/>
          <w:lang w:val="en-US" w:eastAsia="zh-CN"/>
        </w:rPr>
        <w:t>，跨险种可以参保、可以领取。</w:t>
      </w:r>
      <w:r>
        <w:rPr>
          <w:rFonts w:hint="eastAsia" w:ascii="仿宋_GB2312" w:hAnsi="仿宋_GB2312" w:eastAsia="仿宋_GB2312" w:cs="仿宋_GB2312"/>
          <w:b/>
          <w:bCs/>
          <w:color w:val="auto"/>
          <w:sz w:val="32"/>
          <w:szCs w:val="32"/>
          <w:lang w:val="en-US" w:eastAsia="zh-CN"/>
        </w:rPr>
        <w:t>二是省际间不能互连互通。三是部门信息不能共享。</w:t>
      </w:r>
      <w:r>
        <w:rPr>
          <w:rFonts w:hint="eastAsia" w:ascii="仿宋_GB2312" w:hAnsi="仿宋_GB2312" w:eastAsia="仿宋_GB2312" w:cs="仿宋_GB2312"/>
          <w:color w:val="auto"/>
          <w:sz w:val="32"/>
          <w:szCs w:val="32"/>
          <w:lang w:val="en-US" w:eastAsia="zh-CN"/>
        </w:rPr>
        <w:t>法院、纪委、组织、民政等部门信息不通。</w:t>
      </w:r>
      <w:r>
        <w:rPr>
          <w:rFonts w:hint="eastAsia" w:ascii="仿宋_GB2312" w:hAnsi="仿宋_GB2312" w:eastAsia="仿宋_GB2312" w:cs="仿宋_GB2312"/>
          <w:b/>
          <w:bCs/>
          <w:color w:val="auto"/>
          <w:sz w:val="32"/>
          <w:szCs w:val="32"/>
          <w:lang w:val="en-US" w:eastAsia="zh-CN"/>
        </w:rPr>
        <w:t>四是当事单位知情不报</w:t>
      </w:r>
      <w:r>
        <w:rPr>
          <w:rFonts w:hint="eastAsia" w:ascii="仿宋_GB2312" w:hAnsi="仿宋_GB2312" w:eastAsia="仿宋_GB2312" w:cs="仿宋_GB2312"/>
          <w:color w:val="auto"/>
          <w:sz w:val="32"/>
          <w:szCs w:val="32"/>
          <w:lang w:val="en-US" w:eastAsia="zh-CN"/>
        </w:rPr>
        <w:t>，甚至开脱、说情、搞假，有家单位还为违规领取人员办理职级并行。这些都是客观存在，所以有与已无关的感觉。</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3.有问题不报。</w:t>
      </w:r>
      <w:r>
        <w:rPr>
          <w:rFonts w:hint="eastAsia" w:ascii="仿宋_GB2312" w:hAnsi="仿宋_GB2312" w:eastAsia="仿宋_GB2312" w:cs="仿宋_GB2312"/>
          <w:color w:val="auto"/>
          <w:sz w:val="32"/>
          <w:szCs w:val="32"/>
          <w:lang w:val="en-US" w:eastAsia="zh-CN"/>
        </w:rPr>
        <w:t>前年我市基金要情是0，去年开始是12起，我盯上几起没有进来，督办后改为18起。预警信息更是随意，有的地方由0条改为200多条。省厅去年对排查工作发了个通报，有3个地方自查三个险种0问题，8个地方两个险种0问题，18个地方一个险种0问题，其中我市通城榜上有名。省厅要求风险问题要做到应报尽报，在规定时间内报告，然后是应查尽查。</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4.追缴手段不多。</w:t>
      </w:r>
      <w:r>
        <w:rPr>
          <w:rFonts w:hint="eastAsia" w:ascii="仿宋_GB2312" w:hAnsi="仿宋_GB2312" w:eastAsia="仿宋_GB2312" w:cs="仿宋_GB2312"/>
          <w:color w:val="auto"/>
          <w:sz w:val="32"/>
          <w:szCs w:val="32"/>
          <w:lang w:val="en-US" w:eastAsia="zh-CN"/>
        </w:rPr>
        <w:t>从基金要情追缴率只有39%来看，我们追缴方法不多，问题发现后多为扣缴，一次性追缴到位难。有些人法院拿他也没办法，因为杀他无血剐他无皮。有的追 缴还要等到当事人出狱才能解决。</w:t>
      </w:r>
    </w:p>
    <w:p>
      <w:pPr>
        <w:ind w:firstLine="640" w:firstLineChars="200"/>
        <w:jc w:val="both"/>
        <w:rPr>
          <w:rFonts w:hint="eastAsia" w:ascii="文泉驿正黑" w:hAnsi="文泉驿正黑" w:eastAsia="文泉驿正黑" w:cs="文泉驿正黑"/>
          <w:b w:val="0"/>
          <w:bCs w:val="0"/>
          <w:color w:val="auto"/>
          <w:sz w:val="32"/>
          <w:szCs w:val="32"/>
          <w:lang w:val="en-US" w:eastAsia="zh-CN"/>
        </w:rPr>
      </w:pPr>
      <w:r>
        <w:rPr>
          <w:rFonts w:hint="eastAsia" w:ascii="文泉驿正黑" w:hAnsi="文泉驿正黑" w:eastAsia="文泉驿正黑" w:cs="文泉驿正黑"/>
          <w:b w:val="0"/>
          <w:bCs w:val="0"/>
          <w:color w:val="auto"/>
          <w:sz w:val="32"/>
          <w:szCs w:val="32"/>
          <w:lang w:val="en-US" w:eastAsia="zh-CN"/>
        </w:rPr>
        <w:t>二、各负其责，深入推进，扎实开展“提升年”行动</w:t>
      </w:r>
    </w:p>
    <w:p>
      <w:pPr>
        <w:ind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省厅发了文件，也开了动员大会，时间安排、评分标准、方法步骤都说得很清楚，我们没有选择的余地，唯有推进。我认为提升年行动，应突出4个字：一是提升，二是行动。</w:t>
      </w:r>
    </w:p>
    <w:p>
      <w:pPr>
        <w:ind w:firstLine="643" w:firstLineChars="200"/>
        <w:jc w:val="both"/>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（一）关于提升</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1.认识水平要提升。</w:t>
      </w:r>
      <w:r>
        <w:rPr>
          <w:rFonts w:hint="eastAsia" w:ascii="仿宋_GB2312" w:hAnsi="仿宋_GB2312" w:eastAsia="仿宋_GB2312" w:cs="仿宋_GB2312"/>
          <w:color w:val="auto"/>
          <w:sz w:val="32"/>
          <w:szCs w:val="32"/>
          <w:lang w:val="en-US" w:eastAsia="zh-CN"/>
        </w:rPr>
        <w:t>党的十八大以来，习近平总书记对社保工作很重视，在一篇文章、一个讲话中系统阐述社保工作的重要性，这是在为我们社保人站台，也是新时代社保工作行动指南。此外总书记还对衡南县事件作出重要批示，要求严惩蛀虫，堵塞漏洞，举一反三，完善机制，以零容忍态度严厉打击欺诈骗保、套保或挪用贪占各类社会保障资金的违法行为。省、市党委政府也非常重视社会保障、基金安全工作，召开专题会议，研究加强社保基金监管、严厉打击欺诈骗保、贪污侵占基金等问题。各级人社部门要切实把思想和行动统一到中央决策部署和省委省政府、市委市政府工作安排上来，把开展好“提升年”提高到“两个确立”、“两个维护”认识上来，扎实工作，确保社保稳定。</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2.管理水平要提升。</w:t>
      </w:r>
      <w:r>
        <w:rPr>
          <w:rFonts w:hint="eastAsia" w:ascii="仿宋_GB2312" w:hAnsi="仿宋_GB2312" w:eastAsia="仿宋_GB2312" w:cs="仿宋_GB2312"/>
          <w:color w:val="auto"/>
          <w:sz w:val="32"/>
          <w:szCs w:val="32"/>
          <w:lang w:val="en-US" w:eastAsia="zh-CN"/>
        </w:rPr>
        <w:t>抓住薄弱环节、抓住容易出问题、难点堵点环节，提升管理水平：一是规范社保待遇资格认证管理。现在“老来网”资格认证很方便，也可以运用健康码信息认证。二是加强基金财务的管理。三是严格经办岗位权限管理。四是规范社保卡发放管理和应用，加强社保卡服务全流程监管。</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3.基金安全水平提升。</w:t>
      </w:r>
      <w:r>
        <w:rPr>
          <w:rFonts w:hint="eastAsia" w:ascii="仿宋_GB2312" w:hAnsi="仿宋_GB2312" w:eastAsia="仿宋_GB2312" w:cs="仿宋_GB2312"/>
          <w:color w:val="auto"/>
          <w:sz w:val="32"/>
          <w:szCs w:val="32"/>
          <w:lang w:val="en-US" w:eastAsia="zh-CN"/>
        </w:rPr>
        <w:t xml:space="preserve">一是坚持做实资格认证、强化信息比对等，坚决遏制违规领取问题增量；二是千方百计追回存量，对拒不退回的，按照鄂人社（2017）26号文件精神，会同有关部门依法依规加强联合追缴，实施联合惩戒；三是坚决打击欺诈骗保违法行为，坚决杜绝有案不移、以罚代刑、以追回损失基金代替案件移送的现象。          </w:t>
      </w:r>
    </w:p>
    <w:p>
      <w:pPr>
        <w:ind w:firstLine="643" w:firstLineChars="200"/>
        <w:jc w:val="both"/>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（二）关于行</w:t>
      </w:r>
      <w:bookmarkStart w:id="0" w:name="_GoBack"/>
      <w:bookmarkEnd w:id="0"/>
      <w:r>
        <w:rPr>
          <w:rFonts w:hint="eastAsia" w:ascii="仿宋_GB2312" w:hAnsi="仿宋_GB2312" w:eastAsia="仿宋_GB2312" w:cs="仿宋_GB2312"/>
          <w:b/>
          <w:bCs/>
          <w:color w:val="auto"/>
          <w:sz w:val="32"/>
          <w:szCs w:val="32"/>
          <w:lang w:val="en-US" w:eastAsia="zh-CN"/>
        </w:rPr>
        <w:t>动</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1.按照职责清单开展行动。</w:t>
      </w:r>
      <w:r>
        <w:rPr>
          <w:rFonts w:hint="eastAsia" w:ascii="仿宋_GB2312" w:hAnsi="仿宋_GB2312" w:eastAsia="仿宋_GB2312" w:cs="仿宋_GB2312"/>
          <w:color w:val="auto"/>
          <w:sz w:val="32"/>
          <w:szCs w:val="32"/>
          <w:lang w:val="en-US" w:eastAsia="zh-CN"/>
        </w:rPr>
        <w:t>市局按照省厅提升年任务分工表也搞了一个咸宁分工表，一共19个项目，涉及到3个分管领导和在坐的各位科长局长，里面将要做的事和完成的时限都列了出来。刚才各位局长、科长作了安排，讲得很好，请大家认真执行。这里我强调一点，就是时间结点问题，省厅每月要调度，每月3日前将相关进展情况报送省厅基金监管处，没有进展的零报告。请各地按要求及时上报，省厅对工作推进快、好的要通报表扬；对报送不及时、工作进展严重滞后的进行约谈并通报批评。</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2.按照系统平台提供靶标开展行动。</w:t>
      </w:r>
      <w:r>
        <w:rPr>
          <w:rFonts w:hint="eastAsia" w:ascii="仿宋_GB2312" w:hAnsi="仿宋_GB2312" w:eastAsia="仿宋_GB2312" w:cs="仿宋_GB2312"/>
          <w:color w:val="auto"/>
          <w:sz w:val="32"/>
          <w:szCs w:val="32"/>
          <w:lang w:val="en-US" w:eastAsia="zh-CN"/>
        </w:rPr>
        <w:t>基金数据集中在高层，我们这一级主要是经办，做错了有时不知道，比如重复参保，因此要重视高层发下的疑点数据和预警信息的接收、派发、核查、审核、反馈。目前已建成的有关基金系统平台有4个，即全国社保待遇资格认证系统平台、人社部社保信息比对查询平台、金保工程社会保险基金监管系统平台、省集中系统平台。除了接收信息，还要进入这些平台联网核验人员真实性、生存状态及重复待遇等，办理新参保、新退休、待遇核定、待遇发放前要进行比对。同时配合做好系统数据回流和共享，按要求录入信息，完善国家特殊工种全量信息库、生存认证库资料。</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3.按照难啃硬骨头开展行动。</w:t>
      </w:r>
      <w:r>
        <w:rPr>
          <w:rFonts w:hint="eastAsia" w:ascii="仿宋_GB2312" w:hAnsi="仿宋_GB2312" w:eastAsia="仿宋_GB2312" w:cs="仿宋_GB2312"/>
          <w:color w:val="auto"/>
          <w:sz w:val="32"/>
          <w:szCs w:val="32"/>
          <w:lang w:val="en-US" w:eastAsia="zh-CN"/>
        </w:rPr>
        <w:t>目前我市基金工作的硬骨头就是追缴难，十种违规领取行为（1.缴费年限不符合按月领取养老金；2.离退休人员疑似死亡后继续领取养老金预警；3.一人同时领取多份养老金；4.死亡人员继续领取失业金；5.失业再就业人员仍然享受失业保险待遇；6.退休、退职等享受养老保险待遇且享受失业保险待遇；7.非1-4级伤残人员享受伤残津贴；8.职工死亡后仍享受工伤保险待遇；9.在职死亡同时在多险种领取多份丧葬补助金；10.工伤供养亲属领取退休金或者就业继续享受供享待遇）在我市均存在，尤其是服刑人员难啃，有81%违规领取待遇没有追回。去年没有追回的基金存量还有，37万要情基金+28万风险排查发现基金+13万审计发现基金,共计78万没有收回，今年要颗粒归仓。为此省厅启用两个动作：一是两率考核：年度系统预警信息处理率、多领取基金追回率进行考核，按比例计分、纳入“两指”考核项目；二是通过基金监管系统直报基金要情。</w:t>
      </w:r>
    </w:p>
    <w:p>
      <w:pPr>
        <w:ind w:firstLine="640" w:firstLineChars="200"/>
        <w:jc w:val="both"/>
        <w:rPr>
          <w:rFonts w:hint="eastAsia" w:ascii="文泉驿正黑" w:hAnsi="文泉驿正黑" w:eastAsia="文泉驿正黑" w:cs="文泉驿正黑"/>
          <w:b w:val="0"/>
          <w:bCs w:val="0"/>
          <w:color w:val="auto"/>
          <w:sz w:val="32"/>
          <w:szCs w:val="32"/>
          <w:lang w:val="en-US" w:eastAsia="zh-CN"/>
        </w:rPr>
      </w:pPr>
      <w:r>
        <w:rPr>
          <w:rFonts w:hint="eastAsia" w:ascii="文泉驿正黑" w:hAnsi="文泉驿正黑" w:eastAsia="文泉驿正黑" w:cs="文泉驿正黑"/>
          <w:b w:val="0"/>
          <w:bCs w:val="0"/>
          <w:color w:val="auto"/>
          <w:sz w:val="32"/>
          <w:szCs w:val="32"/>
          <w:lang w:val="en-US" w:eastAsia="zh-CN"/>
        </w:rPr>
        <w:t>三、加强领导，压实责任，提升“四位一体”运行水平</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（一）组织领导。</w:t>
      </w:r>
      <w:r>
        <w:rPr>
          <w:rFonts w:hint="eastAsia" w:ascii="仿宋_GB2312" w:hAnsi="仿宋_GB2312" w:eastAsia="仿宋_GB2312" w:cs="仿宋_GB2312"/>
          <w:color w:val="auto"/>
          <w:sz w:val="32"/>
          <w:szCs w:val="32"/>
          <w:lang w:val="en-US" w:eastAsia="zh-CN"/>
        </w:rPr>
        <w:t>各地要重视“提升年”工作，要成立领导小组，“一把手”任组长履行第一责任，亲自部署、亲自调度；分管社保、基金监督以及副局级二级单位领导任副组长，成员由政策、经办、信息、监督“四位一体”工作机制7个科（股）室、单位负责人或分管领导担任，并各明确一名业务骨干为联络员参加专班，领导小组办公室设在局基金监管科（股）。这次会议之后，各地要像市局一样开一个动员会，将我的讲话及市局“四位一体”成员单位领导讲话进行传达。</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（二）边查边改。</w:t>
      </w:r>
      <w:r>
        <w:rPr>
          <w:rFonts w:hint="eastAsia" w:ascii="仿宋_GB2312" w:hAnsi="仿宋_GB2312" w:eastAsia="仿宋_GB2312" w:cs="仿宋_GB2312"/>
          <w:color w:val="auto"/>
          <w:sz w:val="32"/>
          <w:szCs w:val="32"/>
          <w:lang w:val="en-US" w:eastAsia="zh-CN"/>
        </w:rPr>
        <w:t>发挥好“四位一体”联席会议制度作用，发挥赤壁、咸安经验示范作用，切实做好违规领取基金的预防和追缴工作。对工作发现的问题要进一步完善问题整改责任制、对账销号制、报告制以及监督检查制，发提醒函，规范整改工作要求，加快整改进度，提升整改实效。落实要情共享和协同处理机制，视基金要情类型，将日常要情报告和年度要情情况报告同时抄送本级社保政策、经办、信息化管理机构，协同处理。</w:t>
      </w:r>
    </w:p>
    <w:p>
      <w:pPr>
        <w:ind w:firstLine="643"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（三）督促指导。</w:t>
      </w:r>
      <w:r>
        <w:rPr>
          <w:rFonts w:hint="eastAsia" w:ascii="仿宋_GB2312" w:hAnsi="仿宋_GB2312" w:eastAsia="仿宋_GB2312" w:cs="仿宋_GB2312"/>
          <w:color w:val="auto"/>
          <w:sz w:val="32"/>
          <w:szCs w:val="32"/>
          <w:lang w:val="en-US" w:eastAsia="zh-CN"/>
        </w:rPr>
        <w:t>各地“提升年”领导小组办公室要行使好协调、沟通作用，建立交流通报制度，交叉检查制度（拟在9月份与财政部门联合开展一次检查），及时发现问题和不足，不断总结好经验、好做法，调动全系统积极性，群策群力查找不足，主动作为堵塞漏洞。基金监督科（股）要行使好人社行政职能，要对本级社保经办机构开展监督检查，向被检查单位下发监督检查通知，向被检查单位出具监督检查报告（包括检查的范围、内容、方式和时间，存在的问题以及意见建议），做好检查资料台账（包括检查工作底稿及取证资料）。此项工作已被省厅列入“两指”考核内容，各经办机构要主动配合。</w:t>
      </w:r>
    </w:p>
    <w:p>
      <w:pPr>
        <w:keepNext w:val="0"/>
        <w:keepLines w:val="0"/>
        <w:widowControl/>
        <w:suppressLineNumbers w:val="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同志们，今年人社部将重点对我省“提升年”行动工作情况开展中期和年度评估，我市去年就作好被检查的准备，由于疫情原因人社部临时取消对我省检查。去年准备好了不等于今年就不用准备，一年有一年新的任务，一年有一年新的要求，只有不断努力、不断完善才能取得好成绩，才能在人社部评估检查时交上一份满意的答卷。</w:t>
      </w:r>
    </w:p>
    <w:p>
      <w:pPr>
        <w:keepNext w:val="0"/>
        <w:keepLines w:val="0"/>
        <w:widowControl/>
        <w:suppressLineNumbers w:val="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谢谢大家！</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B4B05"/>
    <w:rsid w:val="77EB4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Office_11.8.2.1111_F1E327BC-269C-435d-A152-05C5408002CA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2022-05-17T16:31:00Z</dcterms:created>
  <dc:creator>rensheju</dc:creator>
  <cp:lastModifiedBy>rensheju</cp:lastModifiedBy>
  <dcterms:modified xsi:type="dcterms:W3CDTF">2022-05-17T16:34:40Z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ies>
</file>